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</w:t>
      </w:r>
      <w:r w:rsidR="0066490F">
        <w:rPr>
          <w:lang w:val="uz-Cyrl-UZ"/>
        </w:rPr>
        <w:t>6</w:t>
      </w:r>
      <w:r>
        <w:rPr>
          <w:lang w:val="uz-Cyrl-UZ"/>
        </w:rPr>
        <w:t>-сон муҳм факт.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877"/>
        <w:gridCol w:w="5597"/>
        <w:gridCol w:w="34"/>
      </w:tblGrid>
      <w:tr w:rsidR="00CE27B5" w:rsidTr="00CE27B5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CE27B5" w:rsidRPr="00CE27B5" w:rsidTr="00CE27B5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P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CE27B5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CE27B5" w:rsidRPr="00CE27B5" w:rsidTr="00CE27B5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P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CE27B5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CE27B5" w:rsidTr="00CE27B5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CE27B5" w:rsidTr="00CE27B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CE27B5" w:rsidTr="00CE27B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6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Решения, принятые высшим органом управления эмитента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годовое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14.04.2021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20.04.2021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7B5" w:rsidRDefault="00CE27B5">
            <w:pPr>
              <w:rPr>
                <w:sz w:val="20"/>
                <w:szCs w:val="20"/>
              </w:rPr>
            </w:pP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г.Ташкент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CE27B5" w:rsidTr="00CE27B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96,69</w:t>
            </w:r>
          </w:p>
        </w:tc>
      </w:tr>
      <w:tr w:rsidR="00CE27B5" w:rsidTr="00CE27B5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7996"/>
              <w:gridCol w:w="741"/>
              <w:gridCol w:w="1302"/>
              <w:gridCol w:w="398"/>
              <w:gridCol w:w="1302"/>
              <w:gridCol w:w="398"/>
              <w:gridCol w:w="1302"/>
            </w:tblGrid>
            <w:tr w:rsidR="00CE27B5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Итоги голосования</w:t>
                  </w:r>
                </w:p>
              </w:tc>
            </w:tr>
            <w:tr w:rsidR="00CE27B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воздержались</w:t>
                  </w:r>
                </w:p>
              </w:tc>
            </w:tr>
            <w:tr w:rsidR="00CE27B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эшитиш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молиявий-хўжалик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текшируви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ваколат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масалалар</w:t>
                  </w:r>
                  <w:proofErr w:type="spellEnd"/>
                  <w:r>
                    <w:t xml:space="preserve">, шу </w:t>
                  </w:r>
                  <w:proofErr w:type="spellStart"/>
                  <w:r>
                    <w:t>жумладан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қонун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ҳужжатларида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талабларга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риоя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хулосалари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зарарлари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варағини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тақсимлаш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мўлжалланган</w:t>
                  </w:r>
                  <w:proofErr w:type="spellEnd"/>
                  <w:r>
                    <w:t xml:space="preserve"> «Бизнес-</w:t>
                  </w:r>
                  <w:proofErr w:type="spellStart"/>
                  <w:r>
                    <w:t>режаси»ни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ҳамда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Даромадлар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харажатлар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режаси”ни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меҳнат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шартномаси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муддатини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узайтириш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ўтказилган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Корпоратив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тизимини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баҳолаш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натижаларини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унга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тўланадиган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хизмат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миқдори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чегарасини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тахрирдаги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уставини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7B5" w:rsidRDefault="00CE27B5">
            <w:pPr>
              <w:rPr>
                <w:sz w:val="20"/>
                <w:szCs w:val="20"/>
              </w:rPr>
            </w:pPr>
          </w:p>
        </w:tc>
      </w:tr>
      <w:tr w:rsidR="00CE27B5" w:rsidTr="00CE27B5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13439"/>
            </w:tblGrid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rPr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Полные формулировки решений, принятых общим собранием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молиявий-хўжалик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текшируви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ваколат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масалалар</w:t>
                  </w:r>
                  <w:proofErr w:type="spellEnd"/>
                  <w:r>
                    <w:t xml:space="preserve">, шу </w:t>
                  </w:r>
                  <w:proofErr w:type="spellStart"/>
                  <w:r>
                    <w:t>жумладан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қонун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ҳужжатларида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талабларга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риоя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 xml:space="preserve">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йилни</w:t>
                  </w:r>
                  <w:proofErr w:type="spellEnd"/>
                  <w:r>
                    <w:t xml:space="preserve"> 612125,6 </w:t>
                  </w:r>
                  <w:proofErr w:type="spellStart"/>
                  <w:r>
                    <w:t>минг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сум</w:t>
                  </w:r>
                  <w:proofErr w:type="spellEnd"/>
                  <w:r>
                    <w:t xml:space="preserve"> соф </w:t>
                  </w:r>
                  <w:proofErr w:type="spellStart"/>
                  <w:r>
                    <w:t>фойда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якунлагани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инобатга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олинсин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соф </w:t>
                  </w:r>
                  <w:proofErr w:type="spellStart"/>
                  <w:r>
                    <w:t>фойдаси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куйдагича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таксимлансин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мўлжалланган</w:t>
                  </w:r>
                  <w:proofErr w:type="spellEnd"/>
                  <w:r>
                    <w:t xml:space="preserve"> «Бизнес-</w:t>
                  </w:r>
                  <w:proofErr w:type="spellStart"/>
                  <w:r>
                    <w:t>режаси</w:t>
                  </w:r>
                  <w:proofErr w:type="spellEnd"/>
                  <w:r>
                    <w:t xml:space="preserve">», </w:t>
                  </w:r>
                  <w:proofErr w:type="spellStart"/>
                  <w:r>
                    <w:t>хамда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Даромадлар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харажатлар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режаси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тасдиқлансин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Нигматжанов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Махамадалиевич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мехнат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шартномасини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муддатини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акциядорнинг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умумий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йигилишига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кадар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узайтирсин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аъзолигига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кумулятив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), Ганиев </w:t>
                  </w:r>
                  <w:proofErr w:type="spellStart"/>
                  <w:r>
                    <w:t>Дилмурод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Иркинович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Каримовичлар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сайлансин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қуйидагилар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сайлансин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Бош </w:t>
                  </w:r>
                  <w:proofErr w:type="spellStart"/>
                  <w:r>
                    <w:t>мутахассиси</w:t>
                  </w:r>
                  <w:proofErr w:type="spellEnd"/>
                  <w:r>
                    <w:t xml:space="preserve"> 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  <w:r>
                    <w:t xml:space="preserve"> – 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мутахассиси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  <w:r>
                    <w:t xml:space="preserve"> – 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Корпоратив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тизимини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баҳолаш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натижалари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қабул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қилинсин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аниқланган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камчиликларни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бартараф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вазифаси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юклатилсин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Жамиятнинг</w:t>
                  </w:r>
                  <w:proofErr w:type="spellEnd"/>
                  <w:r>
                    <w:t xml:space="preserve"> 2021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учун</w:t>
                  </w:r>
                  <w:proofErr w:type="spellEnd"/>
                  <w:r>
                    <w:t xml:space="preserve"> «FTF-LEA-AUDIT»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ташкилоти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тайинлансин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кўпи</w:t>
                  </w:r>
                  <w:proofErr w:type="spellEnd"/>
                  <w:r>
                    <w:t xml:space="preserve"> 7800,0 </w:t>
                  </w:r>
                  <w:proofErr w:type="spellStart"/>
                  <w:r>
                    <w:t>минг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сўм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белгилансин</w:t>
                  </w:r>
                  <w:proofErr w:type="spellEnd"/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тахрирда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тасдиклансин</w:t>
                  </w:r>
                  <w:proofErr w:type="spellEnd"/>
                </w:p>
              </w:tc>
            </w:tr>
          </w:tbl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7B5" w:rsidRDefault="00CE27B5">
            <w:pPr>
              <w:rPr>
                <w:sz w:val="20"/>
                <w:szCs w:val="20"/>
              </w:rPr>
            </w:pPr>
          </w:p>
        </w:tc>
      </w:tr>
      <w:tr w:rsidR="00CE27B5" w:rsidTr="00CE27B5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558"/>
              <w:gridCol w:w="4988"/>
              <w:gridCol w:w="1564"/>
              <w:gridCol w:w="1172"/>
              <w:gridCol w:w="2157"/>
            </w:tblGrid>
            <w:tr w:rsidR="00CE27B5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Избрание членов наблюдательного совета:</w:t>
                  </w:r>
                </w:p>
              </w:tc>
            </w:tr>
            <w:tr w:rsidR="00CE27B5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Количество голосов:</w:t>
                  </w:r>
                </w:p>
              </w:tc>
            </w:tr>
            <w:tr w:rsidR="00CE27B5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E27B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E27B5" w:rsidRDefault="00CE27B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Ганиев </w:t>
                  </w:r>
                  <w:proofErr w:type="spellStart"/>
                  <w:r>
                    <w:t>Дилмурод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jc w:val="center"/>
                  </w:pPr>
                  <w:r>
                    <w:t>628 500</w:t>
                  </w:r>
                </w:p>
              </w:tc>
            </w:tr>
          </w:tbl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7B5" w:rsidRDefault="00CE27B5">
            <w:pPr>
              <w:rPr>
                <w:sz w:val="20"/>
                <w:szCs w:val="20"/>
              </w:rPr>
            </w:pPr>
          </w:p>
        </w:tc>
      </w:tr>
      <w:tr w:rsidR="00CE27B5" w:rsidTr="00CE27B5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2"/>
              <w:gridCol w:w="2413"/>
            </w:tblGrid>
            <w:tr w:rsidR="00CE27B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pPr>
                    <w:rPr>
                      <w:sz w:val="24"/>
                      <w:szCs w:val="24"/>
                    </w:rPr>
                  </w:pPr>
                  <w:r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27B5" w:rsidRDefault="00CE27B5">
                  <w:hyperlink r:id="rId6" w:history="1">
                    <w:r>
                      <w:rPr>
                        <w:rStyle w:val="a4"/>
                        <w:color w:val="337AB7"/>
                      </w:rPr>
                      <w:t>Загрузить</w:t>
                    </w:r>
                  </w:hyperlink>
                </w:p>
              </w:tc>
            </w:tr>
          </w:tbl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7B5" w:rsidRDefault="00CE27B5">
            <w:pPr>
              <w:rPr>
                <w:sz w:val="20"/>
                <w:szCs w:val="20"/>
              </w:rPr>
            </w:pPr>
          </w:p>
        </w:tc>
      </w:tr>
    </w:tbl>
    <w:p w:rsidR="00CE27B5" w:rsidRDefault="00CE27B5" w:rsidP="00CE27B5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CE27B5" w:rsidTr="00CE27B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CE27B5" w:rsidTr="00CE27B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CE27B5" w:rsidTr="00CE27B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27B5" w:rsidRDefault="00CE27B5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66490F"/>
    <w:rsid w:val="00885C51"/>
    <w:rsid w:val="00B52D2D"/>
    <w:rsid w:val="00C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0%9E%D0%A1%D0%90_14042021_GLR8FaD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5</cp:revision>
  <dcterms:created xsi:type="dcterms:W3CDTF">2022-11-05T12:23:00Z</dcterms:created>
  <dcterms:modified xsi:type="dcterms:W3CDTF">2022-11-05T12:30:00Z</dcterms:modified>
</cp:coreProperties>
</file>